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5EC81" w14:textId="4975D16F" w:rsidR="004B65EE" w:rsidRPr="004B65EE" w:rsidRDefault="00083FF2" w:rsidP="004B65EE">
      <w:pPr>
        <w:rPr>
          <w:b/>
          <w:bCs/>
        </w:rPr>
      </w:pPr>
      <w:r>
        <w:rPr>
          <w:b/>
          <w:bCs/>
        </w:rPr>
        <w:t xml:space="preserve">                         </w:t>
      </w:r>
      <w:r w:rsidR="004B65EE" w:rsidRPr="004B65EE">
        <w:rPr>
          <w:b/>
          <w:bCs/>
        </w:rPr>
        <w:t xml:space="preserve">Procedura alertów prasowych i szybkiej reakcji eksperckiej Fundacji </w:t>
      </w:r>
      <w:proofErr w:type="spellStart"/>
      <w:r w:rsidR="004B65EE" w:rsidRPr="004B65EE">
        <w:rPr>
          <w:b/>
          <w:bCs/>
        </w:rPr>
        <w:t>IPCiM</w:t>
      </w:r>
      <w:proofErr w:type="spellEnd"/>
    </w:p>
    <w:p w14:paraId="6E1EC396" w14:textId="77777777" w:rsidR="004B65EE" w:rsidRPr="004B65EE" w:rsidRDefault="004B65EE" w:rsidP="004B65EE">
      <w:r w:rsidRPr="004B65EE">
        <w:rPr>
          <w:b/>
          <w:bCs/>
        </w:rPr>
        <w:t>§ 1. Cel i zakres procedury</w:t>
      </w:r>
    </w:p>
    <w:p w14:paraId="2D425092" w14:textId="77777777" w:rsidR="004B65EE" w:rsidRPr="004B65EE" w:rsidRDefault="004B65EE" w:rsidP="004B65EE">
      <w:pPr>
        <w:numPr>
          <w:ilvl w:val="0"/>
          <w:numId w:val="1"/>
        </w:numPr>
      </w:pPr>
      <w:r w:rsidRPr="004B65EE">
        <w:t>Procedura określa zasady i tryb szybkiej reakcji Fundacji „Instytut Praw Człowieka i Mediów” (</w:t>
      </w:r>
      <w:proofErr w:type="spellStart"/>
      <w:r w:rsidRPr="004B65EE">
        <w:t>IPCiM</w:t>
      </w:r>
      <w:proofErr w:type="spellEnd"/>
      <w:r w:rsidRPr="004B65EE">
        <w:t>) na nagłe i istotne wydarzenia medialne, prawne lub polityczne, które stanowią bezpośrednie zagrożenie dla praw człowieka lub wolności mediów w Polsce lub za granicą.</w:t>
      </w:r>
    </w:p>
    <w:p w14:paraId="6419CD46" w14:textId="77777777" w:rsidR="004B65EE" w:rsidRPr="004B65EE" w:rsidRDefault="004B65EE" w:rsidP="004B65EE">
      <w:pPr>
        <w:numPr>
          <w:ilvl w:val="0"/>
          <w:numId w:val="1"/>
        </w:numPr>
      </w:pPr>
      <w:r w:rsidRPr="004B65EE">
        <w:t xml:space="preserve">Celem jest zapewnienie </w:t>
      </w:r>
      <w:r w:rsidRPr="004B65EE">
        <w:rPr>
          <w:b/>
          <w:bCs/>
        </w:rPr>
        <w:t>szybkiej, profesjonalnej i spójnej</w:t>
      </w:r>
      <w:r w:rsidRPr="004B65EE">
        <w:t xml:space="preserve"> reakcji publicznej Fundacji.</w:t>
      </w:r>
    </w:p>
    <w:p w14:paraId="4CE4E745" w14:textId="77777777" w:rsidR="004B65EE" w:rsidRPr="004B65EE" w:rsidRDefault="004B65EE" w:rsidP="004B65EE">
      <w:r w:rsidRPr="004B65EE">
        <w:rPr>
          <w:b/>
          <w:bCs/>
        </w:rPr>
        <w:t>§ 2. Definicja „Alertu Prasowego”</w:t>
      </w:r>
    </w:p>
    <w:p w14:paraId="0489310A" w14:textId="77777777" w:rsidR="004B65EE" w:rsidRPr="004B65EE" w:rsidRDefault="004B65EE" w:rsidP="004B65EE">
      <w:pPr>
        <w:numPr>
          <w:ilvl w:val="0"/>
          <w:numId w:val="2"/>
        </w:numPr>
      </w:pPr>
      <w:r w:rsidRPr="004B65EE">
        <w:rPr>
          <w:b/>
          <w:bCs/>
        </w:rPr>
        <w:t>Alert Prasowy</w:t>
      </w:r>
      <w:r w:rsidRPr="004B65EE">
        <w:t xml:space="preserve"> (AP) to każda sytuacja, w której: a) Następuje naruszenie fundamentalnych praw człowieka (np. aresztowanie dziennikarza, mowa nienawiści, dyskryminacja). b) Pojawia się pilna potrzeba eksperckiego komentarza prawnego lub merytorycznego (np. projekt nowej, szkodliwej ustawy). c) Występuje zmasowana dezinformacja wymagająca natychmiastowego sprostowania.</w:t>
      </w:r>
    </w:p>
    <w:p w14:paraId="1E2B007C" w14:textId="77777777" w:rsidR="004B65EE" w:rsidRPr="004B65EE" w:rsidRDefault="004B65EE" w:rsidP="004B65EE">
      <w:pPr>
        <w:numPr>
          <w:ilvl w:val="0"/>
          <w:numId w:val="2"/>
        </w:numPr>
      </w:pPr>
      <w:r w:rsidRPr="004B65EE">
        <w:t>Decyzję o uruchomieniu AP podejmuje Prezes Zarządu lub wyznaczony Członek Zarządu, a w przypadku ich braku – Dyrektor Wykonawczy.</w:t>
      </w:r>
    </w:p>
    <w:p w14:paraId="72BE6332" w14:textId="77777777" w:rsidR="004B65EE" w:rsidRPr="004B65EE" w:rsidRDefault="004B65EE" w:rsidP="004B65EE">
      <w:r w:rsidRPr="004B65EE">
        <w:rPr>
          <w:b/>
          <w:bCs/>
        </w:rPr>
        <w:t>§ 3. Etapy szybkiej reakcji</w:t>
      </w:r>
    </w:p>
    <w:p w14:paraId="0CF06051" w14:textId="77777777" w:rsidR="004B65EE" w:rsidRPr="004B65EE" w:rsidRDefault="004B65EE" w:rsidP="004B65EE">
      <w:pPr>
        <w:numPr>
          <w:ilvl w:val="0"/>
          <w:numId w:val="3"/>
        </w:numPr>
      </w:pPr>
      <w:r w:rsidRPr="004B65EE">
        <w:rPr>
          <w:b/>
          <w:bCs/>
        </w:rPr>
        <w:t>Wstępna weryfikacja (max. 1 godzina):</w:t>
      </w:r>
      <w:r w:rsidRPr="004B65EE">
        <w:t xml:space="preserve"> a) Identyfikacja zagrożenia i wstępna ocena jego wagi. b) Powołanie doraźnego zespołu eksperckiego (Zarząd, Koordynator ds. Komunikacji, Ekspert prawny).</w:t>
      </w:r>
    </w:p>
    <w:p w14:paraId="7CABAD4F" w14:textId="77777777" w:rsidR="004B65EE" w:rsidRPr="004B65EE" w:rsidRDefault="004B65EE" w:rsidP="004B65EE">
      <w:pPr>
        <w:numPr>
          <w:ilvl w:val="0"/>
          <w:numId w:val="3"/>
        </w:numPr>
      </w:pPr>
      <w:r w:rsidRPr="004B65EE">
        <w:rPr>
          <w:b/>
          <w:bCs/>
        </w:rPr>
        <w:t>Analiza i stanowisko (max. 4 godziny):</w:t>
      </w:r>
      <w:r w:rsidRPr="004B65EE">
        <w:t xml:space="preserve"> a) Zgromadzenie i weryfikacja faktów oraz analiza prawna. b) Opracowanie </w:t>
      </w:r>
      <w:r w:rsidRPr="004B65EE">
        <w:rPr>
          <w:b/>
          <w:bCs/>
        </w:rPr>
        <w:t>oficjalnego stanowiska Fundacji</w:t>
      </w:r>
      <w:r w:rsidRPr="004B65EE">
        <w:t xml:space="preserve">, które musi być zgodne z jej misją i Statutem. c) W przypadku spraw szczególnie wrażliwych – zasięgnięcie opinii eksperta prawnego Fundacji lub </w:t>
      </w:r>
      <w:r w:rsidRPr="004B65EE">
        <w:rPr>
          <w:b/>
          <w:bCs/>
        </w:rPr>
        <w:t>Rady Etycznej</w:t>
      </w:r>
      <w:r w:rsidRPr="004B65EE">
        <w:t xml:space="preserve"> (tryb pilny).</w:t>
      </w:r>
    </w:p>
    <w:p w14:paraId="61249E24" w14:textId="77777777" w:rsidR="004B65EE" w:rsidRPr="004B65EE" w:rsidRDefault="004B65EE" w:rsidP="004B65EE">
      <w:pPr>
        <w:numPr>
          <w:ilvl w:val="0"/>
          <w:numId w:val="3"/>
        </w:numPr>
      </w:pPr>
      <w:r w:rsidRPr="004B65EE">
        <w:rPr>
          <w:b/>
          <w:bCs/>
        </w:rPr>
        <w:t>Wdrożenie i komunikacja (natychmiast po zatwierdzeniu):</w:t>
      </w:r>
      <w:r w:rsidRPr="004B65EE">
        <w:t xml:space="preserve"> a) </w:t>
      </w:r>
      <w:r w:rsidRPr="004B65EE">
        <w:rPr>
          <w:b/>
          <w:bCs/>
        </w:rPr>
        <w:t>Publiczna wypowiedź:</w:t>
      </w:r>
      <w:r w:rsidRPr="004B65EE">
        <w:t xml:space="preserve"> Oświadczenie Fundacji jest publikowane na stronie internetowej, w mediach społecznościowych i przekazywane kluczowym mediom. b) </w:t>
      </w:r>
      <w:r w:rsidRPr="004B65EE">
        <w:rPr>
          <w:b/>
          <w:bCs/>
        </w:rPr>
        <w:t>Wsparcie prawne:</w:t>
      </w:r>
      <w:r w:rsidRPr="004B65EE">
        <w:t xml:space="preserve"> Podjęcie decyzji o ewentualnym wsparciu prawnym, np. wystąpieniu w charakterze </w:t>
      </w:r>
      <w:proofErr w:type="spellStart"/>
      <w:r w:rsidRPr="004B65EE">
        <w:rPr>
          <w:i/>
          <w:iCs/>
        </w:rPr>
        <w:t>amicus</w:t>
      </w:r>
      <w:proofErr w:type="spellEnd"/>
      <w:r w:rsidRPr="004B65EE">
        <w:rPr>
          <w:i/>
          <w:iCs/>
        </w:rPr>
        <w:t xml:space="preserve"> </w:t>
      </w:r>
      <w:proofErr w:type="spellStart"/>
      <w:r w:rsidRPr="004B65EE">
        <w:rPr>
          <w:i/>
          <w:iCs/>
        </w:rPr>
        <w:t>curiae</w:t>
      </w:r>
      <w:proofErr w:type="spellEnd"/>
      <w:r w:rsidRPr="004B65EE">
        <w:t xml:space="preserve"> lub złożeniu zawiadomienia o popełnieniu przestępstwa. c) </w:t>
      </w:r>
      <w:r w:rsidRPr="004B65EE">
        <w:rPr>
          <w:b/>
          <w:bCs/>
        </w:rPr>
        <w:t>Monitoring:</w:t>
      </w:r>
      <w:r w:rsidRPr="004B65EE">
        <w:t xml:space="preserve"> Kontynuowanie monitorowania sprawy i gotowość do dalszych działań.</w:t>
      </w:r>
    </w:p>
    <w:p w14:paraId="54D3C164" w14:textId="77777777" w:rsidR="004B65EE" w:rsidRPr="004B65EE" w:rsidRDefault="004B65EE" w:rsidP="004B65EE">
      <w:r w:rsidRPr="004B65EE">
        <w:rPr>
          <w:b/>
          <w:bCs/>
        </w:rPr>
        <w:t>§ 4. Komunikacja i uprawnienia</w:t>
      </w:r>
    </w:p>
    <w:p w14:paraId="5AAEEBE6" w14:textId="77777777" w:rsidR="004B65EE" w:rsidRPr="004B65EE" w:rsidRDefault="004B65EE" w:rsidP="004B65EE">
      <w:pPr>
        <w:numPr>
          <w:ilvl w:val="0"/>
          <w:numId w:val="4"/>
        </w:numPr>
      </w:pPr>
      <w:r w:rsidRPr="004B65EE">
        <w:t xml:space="preserve">Wyłączną osobą uprawnioną do autoryzacji oficjalnego </w:t>
      </w:r>
      <w:r w:rsidRPr="004B65EE">
        <w:rPr>
          <w:b/>
          <w:bCs/>
        </w:rPr>
        <w:t>Stanowiska Fundacji</w:t>
      </w:r>
      <w:r w:rsidRPr="004B65EE">
        <w:t xml:space="preserve"> jest </w:t>
      </w:r>
      <w:r w:rsidRPr="004B65EE">
        <w:rPr>
          <w:b/>
          <w:bCs/>
        </w:rPr>
        <w:t>Prezes Zarządu</w:t>
      </w:r>
      <w:r w:rsidRPr="004B65EE">
        <w:t xml:space="preserve"> lub upoważniony przez niego członek Zarządu.</w:t>
      </w:r>
    </w:p>
    <w:p w14:paraId="039CB6D7" w14:textId="77777777" w:rsidR="004B65EE" w:rsidRPr="004B65EE" w:rsidRDefault="004B65EE" w:rsidP="004B65EE">
      <w:pPr>
        <w:numPr>
          <w:ilvl w:val="0"/>
          <w:numId w:val="4"/>
        </w:numPr>
      </w:pPr>
      <w:r w:rsidRPr="004B65EE">
        <w:t>W sytuacjach alarmowych, upoważniona osoba może przekazać stanowisko ustnie mediom, z obowiązkiem niezwłocznego sporządzenia i publikacji jego pisemnej wersji.</w:t>
      </w:r>
    </w:p>
    <w:p w14:paraId="2E1F193E" w14:textId="77777777" w:rsidR="004B65EE" w:rsidRPr="004B65EE" w:rsidRDefault="004B65EE" w:rsidP="004B65EE">
      <w:pPr>
        <w:numPr>
          <w:ilvl w:val="0"/>
          <w:numId w:val="4"/>
        </w:numPr>
      </w:pPr>
      <w:r w:rsidRPr="004B65EE">
        <w:t>Wszyscy Współpracownicy mają obowiązek informowania Zarządu o potencjalnych Alertach Prasowych w trybie pilnym (SMS, telefon, pilna wiadomość e-mail).</w:t>
      </w:r>
    </w:p>
    <w:p w14:paraId="1D224E3C" w14:textId="77777777" w:rsidR="00994899" w:rsidRDefault="00994899"/>
    <w:sectPr w:rsidR="009948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75933"/>
    <w:multiLevelType w:val="multilevel"/>
    <w:tmpl w:val="8258C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77110D"/>
    <w:multiLevelType w:val="multilevel"/>
    <w:tmpl w:val="9CA03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FC15E5"/>
    <w:multiLevelType w:val="multilevel"/>
    <w:tmpl w:val="4AAE4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1664C4"/>
    <w:multiLevelType w:val="multilevel"/>
    <w:tmpl w:val="1870D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8812030">
    <w:abstractNumId w:val="2"/>
  </w:num>
  <w:num w:numId="2" w16cid:durableId="901602790">
    <w:abstractNumId w:val="3"/>
  </w:num>
  <w:num w:numId="3" w16cid:durableId="2132240384">
    <w:abstractNumId w:val="0"/>
  </w:num>
  <w:num w:numId="4" w16cid:durableId="1351567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5EE"/>
    <w:rsid w:val="00083FF2"/>
    <w:rsid w:val="004464B2"/>
    <w:rsid w:val="0044781D"/>
    <w:rsid w:val="004B65EE"/>
    <w:rsid w:val="004E328B"/>
    <w:rsid w:val="00766E5B"/>
    <w:rsid w:val="009948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F9B53"/>
  <w15:chartTrackingRefBased/>
  <w15:docId w15:val="{32BC1EE9-F0A4-40EE-92DA-85CBB1AF1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B65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B65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B65E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B65E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B65E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B65E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B65E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B65E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B65E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B65E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B65E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B65E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B65E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B65E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B65E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B65E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B65E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B65EE"/>
    <w:rPr>
      <w:rFonts w:eastAsiaTheme="majorEastAsia" w:cstheme="majorBidi"/>
      <w:color w:val="272727" w:themeColor="text1" w:themeTint="D8"/>
    </w:rPr>
  </w:style>
  <w:style w:type="paragraph" w:styleId="Tytu">
    <w:name w:val="Title"/>
    <w:basedOn w:val="Normalny"/>
    <w:next w:val="Normalny"/>
    <w:link w:val="TytuZnak"/>
    <w:uiPriority w:val="10"/>
    <w:qFormat/>
    <w:rsid w:val="004B65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B65E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B65E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B65E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B65EE"/>
    <w:pPr>
      <w:spacing w:before="160"/>
      <w:jc w:val="center"/>
    </w:pPr>
    <w:rPr>
      <w:i/>
      <w:iCs/>
      <w:color w:val="404040" w:themeColor="text1" w:themeTint="BF"/>
    </w:rPr>
  </w:style>
  <w:style w:type="character" w:customStyle="1" w:styleId="CytatZnak">
    <w:name w:val="Cytat Znak"/>
    <w:basedOn w:val="Domylnaczcionkaakapitu"/>
    <w:link w:val="Cytat"/>
    <w:uiPriority w:val="29"/>
    <w:rsid w:val="004B65EE"/>
    <w:rPr>
      <w:i/>
      <w:iCs/>
      <w:color w:val="404040" w:themeColor="text1" w:themeTint="BF"/>
    </w:rPr>
  </w:style>
  <w:style w:type="paragraph" w:styleId="Akapitzlist">
    <w:name w:val="List Paragraph"/>
    <w:basedOn w:val="Normalny"/>
    <w:uiPriority w:val="34"/>
    <w:qFormat/>
    <w:rsid w:val="004B65EE"/>
    <w:pPr>
      <w:ind w:left="720"/>
      <w:contextualSpacing/>
    </w:pPr>
  </w:style>
  <w:style w:type="character" w:styleId="Wyrnienieintensywne">
    <w:name w:val="Intense Emphasis"/>
    <w:basedOn w:val="Domylnaczcionkaakapitu"/>
    <w:uiPriority w:val="21"/>
    <w:qFormat/>
    <w:rsid w:val="004B65EE"/>
    <w:rPr>
      <w:i/>
      <w:iCs/>
      <w:color w:val="2F5496" w:themeColor="accent1" w:themeShade="BF"/>
    </w:rPr>
  </w:style>
  <w:style w:type="paragraph" w:styleId="Cytatintensywny">
    <w:name w:val="Intense Quote"/>
    <w:basedOn w:val="Normalny"/>
    <w:next w:val="Normalny"/>
    <w:link w:val="CytatintensywnyZnak"/>
    <w:uiPriority w:val="30"/>
    <w:qFormat/>
    <w:rsid w:val="004B65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B65EE"/>
    <w:rPr>
      <w:i/>
      <w:iCs/>
      <w:color w:val="2F5496" w:themeColor="accent1" w:themeShade="BF"/>
    </w:rPr>
  </w:style>
  <w:style w:type="character" w:styleId="Odwoanieintensywne">
    <w:name w:val="Intense Reference"/>
    <w:basedOn w:val="Domylnaczcionkaakapitu"/>
    <w:uiPriority w:val="32"/>
    <w:qFormat/>
    <w:rsid w:val="004B65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2131</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Milosz</dc:creator>
  <cp:keywords/>
  <dc:description/>
  <cp:lastModifiedBy>Andrzej Milosz</cp:lastModifiedBy>
  <cp:revision>2</cp:revision>
  <cp:lastPrinted>2025-11-11T15:35:00Z</cp:lastPrinted>
  <dcterms:created xsi:type="dcterms:W3CDTF">2025-11-07T18:46:00Z</dcterms:created>
  <dcterms:modified xsi:type="dcterms:W3CDTF">2025-11-11T15:35:00Z</dcterms:modified>
</cp:coreProperties>
</file>